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color w:val="7654C4"/>
        </w:rPr>
        <w:t>PROJECT ENQUIRY</w:t>
      </w:r>
    </w:p>
    <w:p>
      <w:pPr>
        <w:pStyle w:val="Title"/>
      </w:pPr>
      <w:r>
        <w:t>Tell us the requirement.</w:t>
      </w:r>
    </w:p>
    <w:p>
      <w:pPr>
        <w:pStyle w:val="Subtitle"/>
      </w:pPr>
      <w:r>
        <w:t>RFI / RFQ and initial project information</w:t>
      </w:r>
    </w:p>
    <w:p>
      <w:pPr>
        <w:pStyle w:val="Lead"/>
      </w:pPr>
      <w:r>
        <w:t>Complete the information available today. An early-stage concept is welcome; note any open decisions or assumptions. Return this form with relevant documents to support@avenor-holdings.com.</w:t>
      </w:r>
    </w:p>
    <w:p>
      <w:pPr>
        <w:pStyle w:val="Heading1"/>
      </w:pPr>
      <w:r>
        <w:rPr>
          <w:color w:val="7654C4"/>
        </w:rPr>
        <w:t>Organisation and project</w:t>
      </w:r>
    </w:p>
    <w:p>
      <w:pPr>
        <w:pStyle w:val="Field"/>
        <w:spacing w:after="200"/>
      </w:pPr>
      <w:r>
        <w:rPr>
          <w:b/>
        </w:rPr>
        <w:t xml:space="preserve">Organisation / project name  </w:t>
      </w:r>
      <w:r>
        <w:t>[Complete]</w:t>
      </w:r>
    </w:p>
    <w:p>
      <w:pPr>
        <w:pStyle w:val="Field"/>
        <w:spacing w:after="200"/>
      </w:pPr>
      <w:r>
        <w:rPr>
          <w:b/>
        </w:rPr>
        <w:t xml:space="preserve">Contact / role / email  </w:t>
      </w:r>
      <w:r>
        <w:t>[Complete]</w:t>
      </w:r>
    </w:p>
    <w:p>
      <w:pPr>
        <w:pStyle w:val="Field"/>
        <w:spacing w:after="200"/>
      </w:pPr>
      <w:r>
        <w:rPr>
          <w:b/>
        </w:rPr>
        <w:t xml:space="preserve">Project location / jurisdiction  </w:t>
      </w:r>
      <w:r>
        <w:t>[Complete]</w:t>
      </w:r>
    </w:p>
    <w:p>
      <w:pPr>
        <w:pStyle w:val="Field"/>
        <w:spacing w:after="200"/>
      </w:pPr>
      <w:r>
        <w:rPr>
          <w:b/>
        </w:rPr>
        <w:t xml:space="preserve">Enquiry reference / response deadline  </w:t>
      </w:r>
      <w:r>
        <w:t>[Complete]</w:t>
      </w:r>
    </w:p>
    <w:p>
      <w:pPr>
        <w:pStyle w:val="Heading1"/>
      </w:pPr>
      <w:r>
        <w:rPr>
          <w:color w:val="7654C4"/>
        </w:rPr>
        <w:t>Required outcome</w:t>
      </w:r>
    </w:p>
    <w:p>
      <w:pPr>
        <w:pStyle w:val="Field"/>
        <w:spacing w:after="200"/>
      </w:pPr>
      <w:r>
        <w:rPr>
          <w:b/>
        </w:rPr>
        <w:t xml:space="preserve">Use case and workload  </w:t>
      </w:r>
      <w:r>
        <w:t>[AI / industrial analytics / storage / other; intended users]</w:t>
      </w:r>
    </w:p>
    <w:p>
      <w:pPr>
        <w:pStyle w:val="Field"/>
        <w:spacing w:after="200"/>
      </w:pPr>
      <w:r>
        <w:rPr>
          <w:b/>
        </w:rPr>
        <w:t xml:space="preserve">Deployment setting  </w:t>
      </w:r>
      <w:r>
        <w:t>[Nearshore / offshore / brownfield / options under consideration]</w:t>
      </w:r>
    </w:p>
    <w:p>
      <w:pPr>
        <w:pStyle w:val="Field"/>
        <w:spacing w:after="200"/>
      </w:pPr>
      <w:r>
        <w:rPr>
          <w:b/>
        </w:rPr>
        <w:t xml:space="preserve">Capacity and growth  </w:t>
      </w:r>
      <w:r>
        <w:t>[IT load / compute or storage requirement / phasing]</w:t>
      </w:r>
    </w:p>
    <w:p>
      <w:pPr>
        <w:pStyle w:val="Field"/>
        <w:spacing w:after="200"/>
      </w:pPr>
      <w:r>
        <w:rPr>
          <w:b/>
        </w:rPr>
        <w:t xml:space="preserve">Performance priorities  </w:t>
      </w:r>
      <w:r>
        <w:t>[Availability, latency, resilience, data location and security requirements]</w:t>
      </w:r>
    </w:p>
    <w:p>
      <w:pPr>
        <w:pStyle w:val="Field"/>
        <w:spacing w:after="200"/>
      </w:pPr>
      <w:r>
        <w:rPr>
          <w:b/>
        </w:rPr>
        <w:t xml:space="preserve">Target dates  </w:t>
      </w:r>
      <w:r>
        <w:t>[Decision, installation and live-operation dates]</w:t>
      </w:r>
    </w:p>
    <w:p>
      <w:pPr>
        <w:pStyle w:val="Field"/>
        <w:spacing w:after="200"/>
      </w:pPr>
      <w:r>
        <w:rPr>
          <w:b/>
        </w:rPr>
        <w:t xml:space="preserve">Current stage  </w:t>
      </w:r>
      <w:r>
        <w:t>[Concept / feasibility / defined requirement / tender / other]</w:t>
      </w:r>
    </w:p>
    <w:p>
      <w:pPr>
        <w:pStyle w:val="Heading1"/>
      </w:pPr>
      <w:r>
        <w:rPr>
          <w:color w:val="7654C4"/>
        </w:rPr>
        <w:t>Scope requested from AVENOR</w:t>
      </w:r>
    </w:p>
    <w:p>
      <w:pPr>
        <w:pStyle w:val="Field"/>
      </w:pPr>
      <w:r>
        <w:t>[State the complete solution or specific packages required. Confirm whether modular data-centre supply, site studies, power, fibre, marine delivery, operations, maintenance, recovery and insurance support should be included.]</w:t>
      </w:r>
    </w:p>
    <w:p>
      <w:r>
        <w:br w:type="page"/>
      </w:r>
    </w:p>
    <w:p>
      <w:pPr>
        <w:pStyle w:val="Kicker"/>
      </w:pPr>
      <w:r>
        <w:rPr>
          <w:color w:val="7654C4"/>
        </w:rPr>
        <w:t>PROJECT INFORMATION</w:t>
      </w:r>
    </w:p>
    <w:p>
      <w:pPr>
        <w:pStyle w:val="Title"/>
      </w:pPr>
      <w:r>
        <w:t>The interfaces that shape the solution.</w:t>
      </w:r>
    </w:p>
    <w:p>
      <w:pPr>
        <w:pStyle w:val="Heading1"/>
      </w:pPr>
      <w:r>
        <w:rPr>
          <w:color w:val="7654C4"/>
        </w:rPr>
        <w:t>Site and infrastructure</w:t>
      </w:r>
    </w:p>
    <w:p>
      <w:pPr>
        <w:pStyle w:val="Field"/>
        <w:spacing w:after="200"/>
      </w:pPr>
      <w:r>
        <w:rPr>
          <w:b/>
        </w:rPr>
        <w:t xml:space="preserve">Site / asset owner and access  </w:t>
      </w:r>
      <w:r>
        <w:t>[Ownership, permissions, known restrictions]</w:t>
      </w:r>
    </w:p>
    <w:p>
      <w:pPr>
        <w:pStyle w:val="Field"/>
        <w:spacing w:after="200"/>
      </w:pPr>
      <w:r>
        <w:rPr>
          <w:b/>
        </w:rPr>
        <w:t xml:space="preserve">Site conditions  </w:t>
      </w:r>
      <w:r>
        <w:t>[Depth, temperature, seabed, metocean, port/navigation constraints; available surveys]</w:t>
      </w:r>
    </w:p>
    <w:p>
      <w:pPr>
        <w:pStyle w:val="Field"/>
        <w:spacing w:after="200"/>
      </w:pPr>
      <w:r>
        <w:rPr>
          <w:b/>
        </w:rPr>
        <w:t xml:space="preserve">Power position  </w:t>
      </w:r>
      <w:r>
        <w:t>[Source, available capacity, connection point, quality and backup arrangements]</w:t>
      </w:r>
    </w:p>
    <w:p>
      <w:pPr>
        <w:pStyle w:val="Field"/>
        <w:spacing w:after="200"/>
      </w:pPr>
      <w:r>
        <w:rPr>
          <w:b/>
        </w:rPr>
        <w:t xml:space="preserve">Fibre and shore connection  </w:t>
      </w:r>
      <w:r>
        <w:t>[Providers, routes, diversity, capacity, connection point]</w:t>
      </w:r>
    </w:p>
    <w:p>
      <w:pPr>
        <w:pStyle w:val="Field"/>
        <w:spacing w:after="200"/>
      </w:pPr>
      <w:r>
        <w:rPr>
          <w:b/>
        </w:rPr>
        <w:t xml:space="preserve">Brownfield information, if relevant  </w:t>
      </w:r>
      <w:r>
        <w:t>[Asset life, drawings, spare capacity, planned shutdowns and OT/IT boundaries]</w:t>
      </w:r>
    </w:p>
    <w:p>
      <w:pPr>
        <w:pStyle w:val="Heading1"/>
      </w:pPr>
      <w:r>
        <w:rPr>
          <w:color w:val="7654C4"/>
        </w:rPr>
        <w:t>Commercial and operating model</w:t>
      </w:r>
    </w:p>
    <w:p>
      <w:pPr>
        <w:pStyle w:val="Field"/>
        <w:spacing w:after="200"/>
      </w:pPr>
      <w:r>
        <w:rPr>
          <w:b/>
        </w:rPr>
        <w:t xml:space="preserve">Procurement route  </w:t>
      </w:r>
      <w:r>
        <w:t>[RFI / RFQ / tender / direct discussion; contracting preferences]</w:t>
      </w:r>
    </w:p>
    <w:p>
      <w:pPr>
        <w:pStyle w:val="Field"/>
        <w:spacing w:after="200"/>
      </w:pPr>
      <w:r>
        <w:rPr>
          <w:b/>
        </w:rPr>
        <w:t xml:space="preserve">Budget / funding position  </w:t>
      </w:r>
      <w:r>
        <w:t>[Approved envelope, estimate required, funding stage, or not yet defined]</w:t>
      </w:r>
    </w:p>
    <w:p>
      <w:pPr>
        <w:pStyle w:val="Field"/>
        <w:spacing w:after="200"/>
      </w:pPr>
      <w:r>
        <w:rPr>
          <w:b/>
        </w:rPr>
        <w:t xml:space="preserve">Operations and lifecycle  </w:t>
      </w:r>
      <w:r>
        <w:t>[Operating party, service term, maintenance access, refresh and recovery plans]</w:t>
      </w:r>
    </w:p>
    <w:p>
      <w:pPr>
        <w:pStyle w:val="Field"/>
        <w:spacing w:after="200"/>
      </w:pPr>
      <w:r>
        <w:rPr>
          <w:b/>
        </w:rPr>
        <w:t xml:space="preserve">Decision process  </w:t>
      </w:r>
      <w:r>
        <w:t>[Technical, commercial and procurement stakeholders; required approvals]</w:t>
      </w:r>
    </w:p>
    <w:p>
      <w:pPr>
        <w:pStyle w:val="Heading1"/>
      </w:pPr>
      <w:r>
        <w:rPr>
          <w:color w:val="7654C4"/>
        </w:rPr>
        <w:t>Supporting information</w:t>
      </w:r>
    </w:p>
    <w:p>
      <w:pPr>
        <w:pStyle w:val="Field"/>
      </w:pPr>
      <w:r>
        <w:t>[List available RFI/RFQ documents, specifications, site surveys, diagrams, utility information, risk registers and programme assumptions. Identify confidential or restricted material before transfer.]</w:t>
      </w:r>
    </w:p>
    <w:p>
      <w:pPr>
        <w:pStyle w:val="Small"/>
      </w:pPr>
      <w:r>
        <w:t>After review, AVENOR will identify the information gaps, relevant specialist inputs and next steps needed to develop the delivery solution.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728" w:right="1123" w:bottom="1238" w:left="1123" w:header="619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avenor-holdings.com  |  support@avenor-holdings.com</w:t>
    </w:r>
  </w:p>
  <w:p>
    <w:pPr>
      <w:pStyle w:val="Footer"/>
    </w:pPr>
    <w:r>
      <w:t>Complexity, mastered.</w:t>
    </w:r>
    <w:r>
      <w:t xml:space="preserve">        AVENOR  /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74519" cy="453985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venor-data-infrastructure-wordmark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453985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8" w:lineRule="auto"/>
    </w:pPr>
    <w:rPr>
      <w:rFonts w:ascii="Sora" w:hAnsi="Sora" w:eastAsia="Sora" w:cs="Sora"/>
      <w:b w:val="0"/>
      <w:i w:val="0"/>
      <w:color w:val="17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120" w:line="278" w:lineRule="auto" w:before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40" w:line="278" w:lineRule="auto" w:before="0"/>
    </w:pPr>
    <w:rPr>
      <w:rFonts w:ascii="Sora" w:hAnsi="Sora" w:eastAsia="Sora" w:cs="Sora"/>
      <w:b w:val="0"/>
      <w:i w:val="0"/>
      <w:color w:val="52656B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 w:line="278" w:lineRule="auto"/>
      <w:outlineLvl w:val="0"/>
    </w:pPr>
    <w:rPr>
      <w:rFonts w:ascii="Sora" w:hAnsi="Sora" w:eastAsia="Sora" w:cs="Sora"/>
      <w:b/>
      <w:bCs/>
      <w:i w:val="0"/>
      <w:color w:val="17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00" w:line="278" w:lineRule="auto"/>
      <w:outlineLvl w:val="1"/>
    </w:pPr>
    <w:rPr>
      <w:rFonts w:ascii="Sora" w:hAnsi="Sora" w:eastAsia="Sora" w:cs="Sora"/>
      <w:b/>
      <w:bCs/>
      <w:i w:val="0"/>
      <w:color w:val="172D34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120" w:line="278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0" w:after="120" w:line="27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120" w:line="278" w:lineRule="auto" w:before="0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80" w:line="247" w:lineRule="auto" w:before="0"/>
      <w:contextualSpacing/>
    </w:pPr>
    <w:rPr>
      <w:rFonts w:ascii="Sora" w:hAnsi="Sora" w:eastAsia="Sora" w:cs="Sora"/>
      <w:b/>
      <w:i w:val="0"/>
      <w:color w:val="172D34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80" w:line="278" w:lineRule="auto"/>
    </w:pPr>
    <w:rPr>
      <w:rFonts w:ascii="Sora" w:hAnsi="Sora" w:eastAsia="Sora" w:cs="Sora"/>
      <w:b w:val="0"/>
      <w:i w:val="0"/>
      <w:iCs/>
      <w:color w:val="52656B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 w:line="278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before="0" w:line="278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278" w:lineRule="auto" w:before="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 w:before="0" w:line="278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spacing w:before="0" w:after="120" w:line="278" w:lineRule="auto"/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spacing w:before="0" w:after="120" w:line="278" w:lineRule="auto"/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spacing w:before="0" w:after="120" w:line="278" w:lineRule="auto"/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120" w:line="278" w:lineRule="auto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before="0" w:after="120" w:line="278" w:lineRule="auto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spacing w:before="0" w:after="120" w:line="278" w:lineRule="auto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120" w:line="278" w:lineRule="auto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before="0" w:after="120" w:line="278" w:lineRule="auto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spacing w:before="0" w:after="120" w:line="278" w:lineRule="auto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 w:before="0" w:line="278" w:lineRule="auto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 w:before="0" w:line="278" w:lineRule="auto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 w:before="0" w:line="278" w:lineRule="auto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="0" w:after="120" w:line="278" w:lineRule="auto"/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0" w:after="120" w:line="278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78" w:lineRule="auto" w:before="0" w:after="120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0" w:after="120" w:line="278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spacing w:before="0" w:after="120" w:line="278" w:lineRule="auto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before="0" w:after="140" w:line="278" w:lineRule="auto"/>
    </w:pPr>
    <w:rPr>
      <w:rFonts w:ascii="Sora" w:hAnsi="Sora" w:eastAsia="Sora" w:cs="Sora"/>
      <w:b/>
      <w:i w:val="0"/>
      <w:color w:val="7654C4"/>
      <w:sz w:val="16"/>
    </w:rPr>
  </w:style>
  <w:style w:type="paragraph" w:customStyle="1" w:styleId="Lead">
    <w:name w:val="Lead"/>
    <w:pPr>
      <w:spacing w:before="0" w:after="120" w:line="278" w:lineRule="auto"/>
    </w:pPr>
    <w:rPr>
      <w:rFonts w:ascii="Sora" w:hAnsi="Sora" w:eastAsia="Sora" w:cs="Sora"/>
      <w:b w:val="0"/>
      <w:i w:val="0"/>
      <w:color w:val="172D34"/>
      <w:sz w:val="22"/>
    </w:rPr>
  </w:style>
  <w:style w:type="paragraph" w:customStyle="1" w:styleId="Small">
    <w:name w:val="Small"/>
    <w:pPr>
      <w:spacing w:before="0" w:after="120" w:line="278" w:lineRule="auto"/>
    </w:pPr>
    <w:rPr>
      <w:rFonts w:ascii="Sora" w:hAnsi="Sora" w:eastAsia="Sora" w:cs="Sora"/>
      <w:b w:val="0"/>
      <w:i w:val="0"/>
      <w:color w:val="52656B"/>
      <w:sz w:val="16"/>
    </w:rPr>
  </w:style>
  <w:style w:type="paragraph" w:customStyle="1" w:styleId="Field">
    <w:name w:val="Field"/>
    <w:pPr>
      <w:spacing w:before="0" w:after="120" w:line="278" w:lineRule="auto"/>
    </w:pPr>
    <w:rPr>
      <w:rFonts w:ascii="Sora" w:hAnsi="Sora" w:eastAsia="Sora" w:cs="Sora"/>
      <w:b w:val="0"/>
      <w:i w:val="0"/>
      <w:color w:val="172D34"/>
      <w:sz w:val="18"/>
    </w:rPr>
  </w:style>
  <w:style w:type="paragraph" w:customStyle="1" w:styleId="Legalfooter">
    <w:name w:val="Legal footer"/>
    <w:pPr>
      <w:spacing w:before="0" w:after="20" w:line="278" w:lineRule="auto"/>
    </w:pPr>
    <w:rPr>
      <w:rFonts w:ascii="Sora" w:hAnsi="Sora" w:eastAsia="Sora" w:cs="Sora"/>
      <w:b w:val="0"/>
      <w:i w:val="0"/>
      <w:color w:val="52656B"/>
      <w:sz w:val="1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AVENOR Project Enquiry and RFI RFQ Intake</dc:title>
  <dc:subject>AVENOR Continuum / Spectrum sales enablement</dc:subject>
  <dc:creator>AVENOR</dc:creator>
  <cp:keywords>AVENOR; Spectrum; Data Infrastructure</cp:keywords>
  <dc:description>generated by python-docx</dc:description>
  <cp:lastModifiedBy>AVENOR</cp:lastModifiedBy>
  <cp:revision>1</cp:revision>
  <dcterms:created xsi:type="dcterms:W3CDTF">2013-12-23T23:15:00Z</dcterms:created>
  <dcterms:modified xsi:type="dcterms:W3CDTF">2013-12-23T23:15:00Z</dcterms:modified>
  <cp:category/>
</cp:coreProperties>
</file>